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4A" w:rsidRPr="00C1609C" w:rsidRDefault="004B29CC" w:rsidP="004139A1">
      <w:pPr>
        <w:spacing w:after="0" w:line="240" w:lineRule="auto"/>
        <w:jc w:val="center"/>
        <w:rPr>
          <w:b/>
          <w:sz w:val="24"/>
          <w:szCs w:val="24"/>
        </w:rPr>
      </w:pPr>
      <w:r w:rsidRPr="00C1609C">
        <w:rPr>
          <w:b/>
          <w:sz w:val="24"/>
          <w:szCs w:val="24"/>
        </w:rPr>
        <w:t>D</w:t>
      </w:r>
      <w:r w:rsidR="007D5ABE" w:rsidRPr="00C1609C">
        <w:rPr>
          <w:b/>
          <w:sz w:val="24"/>
          <w:szCs w:val="24"/>
        </w:rPr>
        <w:t>EDUCCIÓ</w:t>
      </w:r>
      <w:r w:rsidR="005B01DF" w:rsidRPr="00C1609C">
        <w:rPr>
          <w:b/>
          <w:sz w:val="24"/>
          <w:szCs w:val="24"/>
        </w:rPr>
        <w:t>N DE SUELDOS</w:t>
      </w:r>
      <w:r w:rsidR="0001596D" w:rsidRPr="00C1609C">
        <w:rPr>
          <w:b/>
          <w:sz w:val="24"/>
          <w:szCs w:val="24"/>
        </w:rPr>
        <w:t xml:space="preserve"> EXENTOS DEL 49% </w:t>
      </w:r>
      <w:proofErr w:type="spellStart"/>
      <w:r w:rsidR="0001596D" w:rsidRPr="00C1609C">
        <w:rPr>
          <w:b/>
          <w:sz w:val="24"/>
          <w:szCs w:val="24"/>
        </w:rPr>
        <w:t>ó</w:t>
      </w:r>
      <w:proofErr w:type="spellEnd"/>
      <w:r w:rsidRPr="00C1609C">
        <w:rPr>
          <w:b/>
          <w:sz w:val="24"/>
          <w:szCs w:val="24"/>
        </w:rPr>
        <w:t xml:space="preserve"> 53</w:t>
      </w:r>
      <w:r w:rsidR="005B01DF" w:rsidRPr="00C1609C">
        <w:rPr>
          <w:b/>
          <w:sz w:val="24"/>
          <w:szCs w:val="24"/>
        </w:rPr>
        <w:t>%</w:t>
      </w:r>
    </w:p>
    <w:p w:rsidR="00DE5213" w:rsidRPr="00C1609C" w:rsidRDefault="00D63B7A" w:rsidP="004139A1">
      <w:pPr>
        <w:autoSpaceDE w:val="0"/>
        <w:autoSpaceDN w:val="0"/>
        <w:adjustRightInd w:val="0"/>
        <w:spacing w:after="0" w:line="240" w:lineRule="auto"/>
        <w:rPr>
          <w:rFonts w:cs="SegoeUI-Light"/>
          <w:b/>
          <w:sz w:val="24"/>
          <w:szCs w:val="24"/>
        </w:rPr>
      </w:pPr>
      <w:r w:rsidRPr="00C1609C">
        <w:rPr>
          <w:rFonts w:cs="SegoeUI-Light"/>
          <w:b/>
          <w:sz w:val="24"/>
          <w:szCs w:val="24"/>
        </w:rPr>
        <w:t>¿Qué cantidad puedo deducir por los ingresos exentos pagados a los trabajadores?</w:t>
      </w:r>
    </w:p>
    <w:p w:rsidR="008D6D75" w:rsidRPr="00DE5213" w:rsidRDefault="008D6D75" w:rsidP="004139A1">
      <w:pPr>
        <w:autoSpaceDE w:val="0"/>
        <w:autoSpaceDN w:val="0"/>
        <w:adjustRightInd w:val="0"/>
        <w:spacing w:after="0" w:line="240" w:lineRule="auto"/>
        <w:rPr>
          <w:rFonts w:cs="SegoeUI-Light"/>
          <w:b/>
          <w:sz w:val="28"/>
          <w:szCs w:val="28"/>
        </w:rPr>
      </w:pPr>
    </w:p>
    <w:p w:rsidR="00B64BAE" w:rsidRDefault="007D5ABE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Conforme a la L</w:t>
      </w:r>
      <w:r w:rsidR="00D63B7A">
        <w:rPr>
          <w:rFonts w:cs="ArialMT"/>
          <w:color w:val="000000"/>
          <w:sz w:val="24"/>
          <w:szCs w:val="24"/>
        </w:rPr>
        <w:t xml:space="preserve">ey </w:t>
      </w:r>
      <w:r>
        <w:rPr>
          <w:rFonts w:cs="ArialMT"/>
          <w:color w:val="000000"/>
          <w:sz w:val="24"/>
          <w:szCs w:val="24"/>
        </w:rPr>
        <w:t>del Impuesto sobre la R</w:t>
      </w:r>
      <w:r w:rsidR="00D63B7A">
        <w:rPr>
          <w:rFonts w:cs="ArialMT"/>
          <w:color w:val="000000"/>
          <w:sz w:val="24"/>
          <w:szCs w:val="24"/>
        </w:rPr>
        <w:t xml:space="preserve">enta </w:t>
      </w:r>
      <w:r>
        <w:rPr>
          <w:rFonts w:cs="ArialMT"/>
          <w:color w:val="000000"/>
          <w:sz w:val="24"/>
          <w:szCs w:val="24"/>
        </w:rPr>
        <w:t xml:space="preserve">(ISR) </w:t>
      </w:r>
      <w:r w:rsidR="00D63B7A">
        <w:rPr>
          <w:rFonts w:cs="ArialMT"/>
          <w:color w:val="000000"/>
          <w:sz w:val="24"/>
          <w:szCs w:val="24"/>
        </w:rPr>
        <w:t xml:space="preserve">en su </w:t>
      </w:r>
      <w:r w:rsidR="009E2FD2">
        <w:rPr>
          <w:rFonts w:cs="ArialMT"/>
          <w:color w:val="000000"/>
          <w:sz w:val="24"/>
          <w:szCs w:val="24"/>
        </w:rPr>
        <w:t>artículo</w:t>
      </w:r>
      <w:r w:rsidR="00D63B7A">
        <w:rPr>
          <w:rFonts w:cs="ArialMT"/>
          <w:color w:val="000000"/>
          <w:sz w:val="24"/>
          <w:szCs w:val="24"/>
        </w:rPr>
        <w:t xml:space="preserve"> 28</w:t>
      </w:r>
      <w:r>
        <w:rPr>
          <w:rFonts w:cs="ArialMT"/>
          <w:color w:val="000000"/>
          <w:sz w:val="24"/>
          <w:szCs w:val="24"/>
        </w:rPr>
        <w:t>,</w:t>
      </w:r>
      <w:r w:rsidR="00D63B7A">
        <w:rPr>
          <w:rFonts w:cs="ArialMT"/>
          <w:color w:val="000000"/>
          <w:sz w:val="24"/>
          <w:szCs w:val="24"/>
        </w:rPr>
        <w:t xml:space="preserve"> </w:t>
      </w:r>
      <w:r w:rsidR="009E2FD2">
        <w:rPr>
          <w:rFonts w:cs="ArialMT"/>
          <w:color w:val="000000"/>
          <w:sz w:val="24"/>
          <w:szCs w:val="24"/>
        </w:rPr>
        <w:t>fracción</w:t>
      </w:r>
      <w:r w:rsidR="00D63B7A">
        <w:rPr>
          <w:rFonts w:cs="ArialMT"/>
          <w:color w:val="000000"/>
          <w:sz w:val="24"/>
          <w:szCs w:val="24"/>
        </w:rPr>
        <w:t xml:space="preserve"> XXX </w:t>
      </w:r>
      <w:r>
        <w:rPr>
          <w:rFonts w:cs="ArialMT"/>
          <w:color w:val="000000"/>
          <w:sz w:val="24"/>
          <w:szCs w:val="24"/>
        </w:rPr>
        <w:t>señala</w:t>
      </w:r>
      <w:r w:rsidR="00D63B7A">
        <w:rPr>
          <w:rFonts w:cs="ArialMT"/>
          <w:color w:val="000000"/>
          <w:sz w:val="24"/>
          <w:szCs w:val="24"/>
        </w:rPr>
        <w:t xml:space="preserve"> que los ingresos exentos pagados a los trabajadores únicamente podrían ser deducibles en un 53% o un 47</w:t>
      </w:r>
      <w:bookmarkStart w:id="0" w:name="_GoBack"/>
      <w:bookmarkEnd w:id="0"/>
      <w:r w:rsidR="00D63B7A">
        <w:rPr>
          <w:rFonts w:cs="ArialMT"/>
          <w:color w:val="000000"/>
          <w:sz w:val="24"/>
          <w:szCs w:val="24"/>
        </w:rPr>
        <w:t>% según proceda</w:t>
      </w:r>
      <w:r w:rsidR="009E2FD2">
        <w:rPr>
          <w:rFonts w:cs="ArialMT"/>
          <w:color w:val="000000"/>
          <w:sz w:val="24"/>
          <w:szCs w:val="24"/>
        </w:rPr>
        <w:t xml:space="preserve">. </w:t>
      </w:r>
    </w:p>
    <w:p w:rsidR="00B64BAE" w:rsidRDefault="00B64BAE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E2FD2" w:rsidRDefault="009E2FD2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La limitante establecida en dicho artículo es aplicable para:</w:t>
      </w:r>
    </w:p>
    <w:p w:rsidR="009E2FD2" w:rsidRPr="002E375C" w:rsidRDefault="009E2FD2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E2FD2" w:rsidRPr="00E2555B" w:rsidRDefault="009E2FD2" w:rsidP="004139A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E2555B">
        <w:rPr>
          <w:rFonts w:cs="ArialMT"/>
          <w:color w:val="000000"/>
          <w:sz w:val="24"/>
          <w:szCs w:val="24"/>
        </w:rPr>
        <w:t>Erogaciones efectuadas por una relación subordinada.</w:t>
      </w:r>
    </w:p>
    <w:p w:rsidR="009E2FD2" w:rsidRPr="00E2555B" w:rsidRDefault="009E2FD2" w:rsidP="004139A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E2555B">
        <w:rPr>
          <w:rFonts w:cs="ArialMT"/>
          <w:color w:val="000000"/>
          <w:sz w:val="24"/>
          <w:szCs w:val="24"/>
        </w:rPr>
        <w:t>Respecto de las que sean ingresos exentos para los trabajadores.</w:t>
      </w:r>
    </w:p>
    <w:p w:rsidR="009E2FD2" w:rsidRDefault="009E2FD2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E2FD2" w:rsidRDefault="007D5ABE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Asi</w:t>
      </w:r>
      <w:r w:rsidR="009E2FD2">
        <w:rPr>
          <w:rFonts w:cs="ArialMT"/>
          <w:color w:val="000000"/>
          <w:sz w:val="24"/>
          <w:szCs w:val="24"/>
        </w:rPr>
        <w:t>mismo</w:t>
      </w:r>
      <w:r w:rsidR="00B64BAE">
        <w:rPr>
          <w:rFonts w:cs="ArialMT"/>
          <w:color w:val="000000"/>
          <w:sz w:val="24"/>
          <w:szCs w:val="24"/>
        </w:rPr>
        <w:t>,</w:t>
      </w:r>
      <w:r w:rsidR="009E2FD2">
        <w:rPr>
          <w:rFonts w:cs="ArialMT"/>
          <w:color w:val="000000"/>
          <w:sz w:val="24"/>
          <w:szCs w:val="24"/>
        </w:rPr>
        <w:t xml:space="preserve"> la Resolución Miscelánea Fiscal para 2016</w:t>
      </w:r>
      <w:r w:rsidR="00B64BAE">
        <w:rPr>
          <w:rFonts w:cs="ArialMT"/>
          <w:color w:val="000000"/>
          <w:sz w:val="24"/>
          <w:szCs w:val="24"/>
        </w:rPr>
        <w:t>,</w:t>
      </w:r>
      <w:r w:rsidR="009E2FD2">
        <w:rPr>
          <w:rFonts w:cs="ArialMT"/>
          <w:color w:val="000000"/>
          <w:sz w:val="24"/>
          <w:szCs w:val="24"/>
        </w:rPr>
        <w:t xml:space="preserve"> en la regla 3.3.1.29</w:t>
      </w:r>
      <w:r>
        <w:rPr>
          <w:rFonts w:cs="ArialMT"/>
          <w:color w:val="000000"/>
          <w:sz w:val="24"/>
          <w:szCs w:val="24"/>
        </w:rPr>
        <w:t>.,</w:t>
      </w:r>
      <w:r w:rsidR="009E2FD2">
        <w:rPr>
          <w:rFonts w:cs="ArialMT"/>
          <w:color w:val="000000"/>
          <w:sz w:val="24"/>
          <w:szCs w:val="24"/>
        </w:rPr>
        <w:t xml:space="preserve"> establece el procedimiento para determinar si el total de los ingresos exentos pag</w:t>
      </w:r>
      <w:r w:rsidR="00B64BAE">
        <w:rPr>
          <w:rFonts w:cs="ArialMT"/>
          <w:color w:val="000000"/>
          <w:sz w:val="24"/>
          <w:szCs w:val="24"/>
        </w:rPr>
        <w:t>ados a los trabajadores se podr</w:t>
      </w:r>
      <w:r w:rsidR="001410AB">
        <w:rPr>
          <w:rFonts w:cs="ArialMT"/>
          <w:color w:val="000000"/>
          <w:sz w:val="24"/>
          <w:szCs w:val="24"/>
        </w:rPr>
        <w:t>á</w:t>
      </w:r>
      <w:r>
        <w:rPr>
          <w:rFonts w:cs="ArialMT"/>
          <w:color w:val="000000"/>
          <w:sz w:val="24"/>
          <w:szCs w:val="24"/>
        </w:rPr>
        <w:t xml:space="preserve"> deducir al 53% </w:t>
      </w:r>
      <w:proofErr w:type="spellStart"/>
      <w:r>
        <w:rPr>
          <w:rFonts w:cs="ArialMT"/>
          <w:color w:val="000000"/>
          <w:sz w:val="24"/>
          <w:szCs w:val="24"/>
        </w:rPr>
        <w:t>ó</w:t>
      </w:r>
      <w:proofErr w:type="spellEnd"/>
      <w:r w:rsidR="009E2FD2">
        <w:rPr>
          <w:rFonts w:cs="ArialMT"/>
          <w:color w:val="000000"/>
          <w:sz w:val="24"/>
          <w:szCs w:val="24"/>
        </w:rPr>
        <w:t xml:space="preserve"> 47% conforme a lo siguiente</w:t>
      </w:r>
      <w:r w:rsidR="009A40F4">
        <w:rPr>
          <w:rFonts w:cs="ArialMT"/>
          <w:color w:val="000000"/>
          <w:sz w:val="24"/>
          <w:szCs w:val="24"/>
        </w:rPr>
        <w:t>:</w:t>
      </w:r>
    </w:p>
    <w:p w:rsidR="00C751F9" w:rsidRPr="00C751F9" w:rsidRDefault="00C751F9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/>
          <w:sz w:val="24"/>
          <w:szCs w:val="24"/>
        </w:rPr>
      </w:pPr>
    </w:p>
    <w:p w:rsidR="005D1985" w:rsidRDefault="005D1985" w:rsidP="004139A1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color w:val="2F2F2F"/>
          <w:sz w:val="24"/>
          <w:szCs w:val="24"/>
          <w:lang w:eastAsia="es-MX"/>
        </w:rPr>
      </w:pPr>
      <w:r w:rsidRPr="00C751F9">
        <w:rPr>
          <w:rFonts w:eastAsia="Times New Roman" w:cs="Arial"/>
          <w:color w:val="2F2F2F"/>
          <w:sz w:val="24"/>
          <w:szCs w:val="24"/>
          <w:lang w:eastAsia="es-MX"/>
        </w:rPr>
        <w:t>Se obtendrá el cociente que resulte de dividir el total de las remuneraciones y demás prestaciones pagadas por el contribuyente a sus trabajadores y que a su vez son ingresos exentos para efectos de la determinación del ISR de éstos últimos, efectuadas en el ejercicio, entre el total de las remuneraciones y prestaciones pagadas por el contribuyente a sus trabajadores.</w:t>
      </w:r>
    </w:p>
    <w:p w:rsidR="007F03C7" w:rsidRPr="007F03C7" w:rsidRDefault="007F03C7" w:rsidP="004139A1">
      <w:pPr>
        <w:spacing w:after="0" w:line="240" w:lineRule="auto"/>
        <w:jc w:val="both"/>
        <w:rPr>
          <w:rFonts w:eastAsia="Times New Roman" w:cs="Arial"/>
          <w:color w:val="2F2F2F"/>
          <w:sz w:val="24"/>
          <w:szCs w:val="24"/>
          <w:lang w:eastAsia="es-MX"/>
        </w:rPr>
      </w:pPr>
    </w:p>
    <w:p w:rsidR="005D1985" w:rsidRDefault="005D1985" w:rsidP="004139A1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color w:val="2F2F2F"/>
          <w:sz w:val="24"/>
          <w:szCs w:val="24"/>
          <w:lang w:eastAsia="es-MX"/>
        </w:rPr>
      </w:pPr>
      <w:r w:rsidRPr="00C751F9">
        <w:rPr>
          <w:rFonts w:eastAsia="Times New Roman" w:cs="Arial"/>
          <w:color w:val="2F2F2F"/>
          <w:sz w:val="24"/>
          <w:szCs w:val="24"/>
          <w:lang w:eastAsia="es-MX"/>
        </w:rPr>
        <w:t>Se obtendrá el cociente que resulte de dividir el total de las remuneraciones y demás prestaciones pagadas por el contribuyente a sus trabajadores y que a su vez son ingresos exentos para efectos de la determinación del ISR de éstos últimos, efectuadas en el ejercicio inmediato anterior, entre el total de las remuneraciones y prestaciones pagadas por el contribuyente a sus trabajadores, efectuadas en el ejercicio inmediato anterior.</w:t>
      </w:r>
    </w:p>
    <w:p w:rsidR="007D5ABE" w:rsidRPr="007D5ABE" w:rsidRDefault="007D5ABE" w:rsidP="004139A1">
      <w:pPr>
        <w:pStyle w:val="Prrafodelista"/>
        <w:spacing w:after="0" w:line="240" w:lineRule="auto"/>
        <w:ind w:left="0"/>
        <w:rPr>
          <w:rFonts w:eastAsia="Times New Roman" w:cs="Arial"/>
          <w:color w:val="2F2F2F"/>
          <w:sz w:val="24"/>
          <w:szCs w:val="24"/>
          <w:lang w:eastAsia="es-MX"/>
        </w:rPr>
      </w:pPr>
    </w:p>
    <w:p w:rsidR="008E0A2B" w:rsidRDefault="005D1985" w:rsidP="004139A1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color w:val="2F2F2F"/>
          <w:sz w:val="24"/>
          <w:szCs w:val="24"/>
          <w:lang w:eastAsia="es-MX"/>
        </w:rPr>
      </w:pPr>
      <w:r w:rsidRPr="00C751F9">
        <w:rPr>
          <w:rFonts w:eastAsia="Times New Roman" w:cs="Arial"/>
          <w:color w:val="2F2F2F"/>
          <w:sz w:val="24"/>
          <w:szCs w:val="24"/>
          <w:lang w:eastAsia="es-MX"/>
        </w:rPr>
        <w:t>Cuando el cociente determinado conforme a la fracción I de esta regla sea menor que el cociente que resulte conforme a la fracción II, se entenderá que hubo una disminución de las prestaciones otorgadas por el contribuyente a favor de los trabajadores que a su vez sean ingresos exentos del ISR para dichos trabajadores y por las cuales no podrá deducirse el 53% de los pagos que a su vez sean ingresos exentos para el trabajador.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7313"/>
      </w:tblGrid>
      <w:tr w:rsidR="008D6D75" w:rsidRPr="008D6D75" w:rsidTr="008D6D75">
        <w:trPr>
          <w:trHeight w:val="593"/>
        </w:trPr>
        <w:tc>
          <w:tcPr>
            <w:tcW w:w="1329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Cociente =</w:t>
            </w:r>
          </w:p>
        </w:tc>
        <w:tc>
          <w:tcPr>
            <w:tcW w:w="7313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Total de Remuneraciones y prestaciones </w:t>
            </w:r>
            <w:r w:rsidR="00141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exentas 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pagadas </w:t>
            </w:r>
            <w:r w:rsidR="00141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 los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trabajador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el ejercicio.</w:t>
            </w:r>
          </w:p>
        </w:tc>
      </w:tr>
      <w:tr w:rsidR="008D6D75" w:rsidRPr="008D6D75" w:rsidTr="008D6D75">
        <w:trPr>
          <w:trHeight w:val="593"/>
        </w:trPr>
        <w:tc>
          <w:tcPr>
            <w:tcW w:w="1329" w:type="dxa"/>
            <w:vMerge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8D6D75" w:rsidRPr="008D6D75" w:rsidRDefault="008D6D75" w:rsidP="0041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Total de Remuneraciones y prestaciones pagadas por el contribuyente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06B19" w:rsidRPr="00847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 sus trabajadores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el ejercicio.</w:t>
            </w:r>
          </w:p>
        </w:tc>
      </w:tr>
      <w:tr w:rsidR="008D6D75" w:rsidRPr="008D6D75" w:rsidTr="008D6D75">
        <w:trPr>
          <w:trHeight w:val="341"/>
        </w:trPr>
        <w:tc>
          <w:tcPr>
            <w:tcW w:w="13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D6D75" w:rsidRPr="008D6D75" w:rsidTr="008D6D75">
        <w:trPr>
          <w:trHeight w:val="593"/>
        </w:trPr>
        <w:tc>
          <w:tcPr>
            <w:tcW w:w="1329" w:type="dxa"/>
            <w:vMerge w:val="restart"/>
            <w:tcBorders>
              <w:top w:val="nil"/>
              <w:left w:val="dashed" w:sz="4" w:space="0" w:color="auto"/>
              <w:bottom w:val="dashed" w:sz="4" w:space="0" w:color="000000"/>
              <w:right w:val="nil"/>
            </w:tcBorders>
            <w:shd w:val="clear" w:color="000000" w:fill="FCE4D6"/>
            <w:noWrap/>
            <w:vAlign w:val="center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Cociente =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Total de Remuneraciones y prestaciones 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exentas 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pagadas 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a los 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trabajador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es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el ejercicio anterior.</w:t>
            </w:r>
          </w:p>
        </w:tc>
      </w:tr>
      <w:tr w:rsidR="008D6D75" w:rsidRPr="008D6D75" w:rsidTr="008D6D75">
        <w:trPr>
          <w:trHeight w:val="593"/>
        </w:trPr>
        <w:tc>
          <w:tcPr>
            <w:tcW w:w="1329" w:type="dxa"/>
            <w:vMerge/>
            <w:tcBorders>
              <w:top w:val="nil"/>
              <w:left w:val="dashed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:rsidR="008D6D75" w:rsidRPr="008D6D75" w:rsidRDefault="008D6D75" w:rsidP="00413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6D75" w:rsidRPr="008D6D75" w:rsidRDefault="008D6D75" w:rsidP="00413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Total de Remuneraciones y prestaciones pagadas por el contribuyente </w:t>
            </w:r>
            <w:r w:rsidR="00706B19" w:rsidRPr="00847F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 sus trabajadores</w:t>
            </w:r>
            <w:r w:rsidR="00706B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8D6D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en el ejercicio anterior.</w:t>
            </w:r>
          </w:p>
        </w:tc>
      </w:tr>
    </w:tbl>
    <w:p w:rsidR="008D6D75" w:rsidRDefault="008D6D75" w:rsidP="004139A1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B64BAE" w:rsidRPr="00B64BAE" w:rsidRDefault="00B64BAE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64BAE">
        <w:rPr>
          <w:rFonts w:cs="ArialMT"/>
          <w:sz w:val="24"/>
          <w:szCs w:val="24"/>
        </w:rPr>
        <w:lastRenderedPageBreak/>
        <w:t>Posteriormente se comparan los cocientes</w:t>
      </w:r>
      <w:r>
        <w:rPr>
          <w:rFonts w:cs="ArialMT"/>
          <w:sz w:val="24"/>
          <w:szCs w:val="24"/>
        </w:rPr>
        <w:t>.</w:t>
      </w:r>
    </w:p>
    <w:p w:rsidR="008D6D75" w:rsidRDefault="008D6D75" w:rsidP="004139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2266D" w:rsidRPr="00C751F9" w:rsidRDefault="00B2266D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751F9">
        <w:rPr>
          <w:rFonts w:cs="Arial-BoldMT"/>
          <w:b/>
          <w:bCs/>
          <w:sz w:val="24"/>
          <w:szCs w:val="24"/>
        </w:rPr>
        <w:t xml:space="preserve">Si </w:t>
      </w:r>
      <w:r w:rsidRPr="00C751F9">
        <w:rPr>
          <w:rFonts w:cs="ArialMT"/>
          <w:sz w:val="24"/>
          <w:szCs w:val="24"/>
        </w:rPr>
        <w:t>Cocien</w:t>
      </w:r>
      <w:r w:rsidR="0011416B" w:rsidRPr="00C751F9">
        <w:rPr>
          <w:rFonts w:cs="ArialMT"/>
          <w:sz w:val="24"/>
          <w:szCs w:val="24"/>
        </w:rPr>
        <w:t xml:space="preserve">te del ejercicio &lt; Cociente del </w:t>
      </w:r>
      <w:r w:rsidRPr="00C751F9">
        <w:rPr>
          <w:rFonts w:cs="ArialMT"/>
          <w:sz w:val="24"/>
          <w:szCs w:val="24"/>
        </w:rPr>
        <w:t>ejerc</w:t>
      </w:r>
      <w:r w:rsidR="0011416B" w:rsidRPr="00C751F9">
        <w:rPr>
          <w:rFonts w:cs="ArialMT"/>
          <w:sz w:val="24"/>
          <w:szCs w:val="24"/>
        </w:rPr>
        <w:t xml:space="preserve">icio anterior = Proporción 0.53 </w:t>
      </w:r>
      <w:r w:rsidRPr="00C751F9">
        <w:rPr>
          <w:rFonts w:cs="ArialMT"/>
          <w:sz w:val="24"/>
          <w:szCs w:val="24"/>
        </w:rPr>
        <w:t>no deducible</w:t>
      </w:r>
      <w:r w:rsidR="00B64BAE">
        <w:rPr>
          <w:rFonts w:cs="ArialMT"/>
          <w:sz w:val="24"/>
          <w:szCs w:val="24"/>
        </w:rPr>
        <w:t>, y la parte deducible será el 0.47.</w:t>
      </w:r>
    </w:p>
    <w:p w:rsidR="0011416B" w:rsidRPr="00C751F9" w:rsidRDefault="0011416B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2266D" w:rsidRPr="00C751F9" w:rsidRDefault="00B2266D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C751F9">
        <w:rPr>
          <w:rFonts w:cs="Arial-BoldMT"/>
          <w:b/>
          <w:bCs/>
          <w:sz w:val="24"/>
          <w:szCs w:val="24"/>
        </w:rPr>
        <w:t xml:space="preserve">Si </w:t>
      </w:r>
      <w:r w:rsidRPr="00C751F9">
        <w:rPr>
          <w:rFonts w:cs="ArialMT"/>
          <w:sz w:val="24"/>
          <w:szCs w:val="24"/>
        </w:rPr>
        <w:t>Cociente d</w:t>
      </w:r>
      <w:r w:rsidR="0011416B" w:rsidRPr="00C751F9">
        <w:rPr>
          <w:rFonts w:cs="ArialMT"/>
          <w:sz w:val="24"/>
          <w:szCs w:val="24"/>
        </w:rPr>
        <w:t xml:space="preserve">el ejercicio &gt; o = Cociente del </w:t>
      </w:r>
      <w:r w:rsidRPr="00C751F9">
        <w:rPr>
          <w:rFonts w:cs="ArialMT"/>
          <w:sz w:val="24"/>
          <w:szCs w:val="24"/>
        </w:rPr>
        <w:t>ejerc</w:t>
      </w:r>
      <w:r w:rsidR="0011416B" w:rsidRPr="00C751F9">
        <w:rPr>
          <w:rFonts w:cs="ArialMT"/>
          <w:sz w:val="24"/>
          <w:szCs w:val="24"/>
        </w:rPr>
        <w:t>icio anterior = Proporción 0.47</w:t>
      </w:r>
      <w:r w:rsidR="00540E05" w:rsidRPr="00C751F9">
        <w:rPr>
          <w:rFonts w:cs="ArialMT"/>
          <w:sz w:val="24"/>
          <w:szCs w:val="24"/>
        </w:rPr>
        <w:t xml:space="preserve"> no deducib</w:t>
      </w:r>
      <w:r w:rsidRPr="00C751F9">
        <w:rPr>
          <w:rFonts w:cs="ArialMT"/>
          <w:sz w:val="24"/>
          <w:szCs w:val="24"/>
        </w:rPr>
        <w:t>le</w:t>
      </w:r>
      <w:r w:rsidR="00B64BAE">
        <w:rPr>
          <w:rFonts w:cs="ArialMT"/>
          <w:sz w:val="24"/>
          <w:szCs w:val="24"/>
        </w:rPr>
        <w:t>, y la parte deducible será el 0.53.</w:t>
      </w:r>
    </w:p>
    <w:p w:rsidR="0020676D" w:rsidRPr="00C751F9" w:rsidRDefault="0020676D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0676D" w:rsidRPr="00C751F9" w:rsidRDefault="00740DB1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751F9">
        <w:rPr>
          <w:rFonts w:cs="ArialMT"/>
          <w:sz w:val="24"/>
          <w:szCs w:val="24"/>
        </w:rPr>
        <w:t>Para determinar el cociente d</w:t>
      </w:r>
      <w:r w:rsidR="0020676D" w:rsidRPr="00C751F9">
        <w:rPr>
          <w:rFonts w:cs="ArialMT"/>
          <w:sz w:val="24"/>
          <w:szCs w:val="24"/>
        </w:rPr>
        <w:t xml:space="preserve">e acuerdo </w:t>
      </w:r>
      <w:r w:rsidR="005D1985" w:rsidRPr="00C751F9">
        <w:rPr>
          <w:rFonts w:cs="ArialMT"/>
          <w:sz w:val="24"/>
          <w:szCs w:val="24"/>
        </w:rPr>
        <w:t>a la fracción I y II</w:t>
      </w:r>
      <w:r w:rsidR="0020676D" w:rsidRPr="00C751F9">
        <w:rPr>
          <w:rFonts w:cs="ArialMT"/>
          <w:sz w:val="24"/>
          <w:szCs w:val="24"/>
        </w:rPr>
        <w:t xml:space="preserve"> se consideran las siguientes erogaciones:</w:t>
      </w:r>
    </w:p>
    <w:p w:rsidR="0020676D" w:rsidRPr="00C751F9" w:rsidRDefault="0020676D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Sueldos y salarios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Rayas jornales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Gratificaciones y aguinaldo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Indemnizaciones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Prima de vacaciones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Prima dominical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Premios por puntualidad y asistencia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Participación de los trabajadores en las utilidades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Seguro de vida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Reembolso de gastos médicos dentales y hospitalarios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Previsión social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Seguro de gastos médicos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Fondos y cajas de ahorro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Vales de despensa restaurante, gasolina y para ropa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Ayudas de transporte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Cuotas sindicales pagadas por el patrón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Fondo de pensiones, aportaciones del patrón</w:t>
      </w:r>
      <w:r w:rsidR="00896160" w:rsidRPr="007D5ABE">
        <w:rPr>
          <w:rFonts w:cs="ArialMT"/>
          <w:sz w:val="20"/>
          <w:szCs w:val="20"/>
        </w:rPr>
        <w:t>.</w:t>
      </w:r>
    </w:p>
    <w:p w:rsidR="0020676D" w:rsidRPr="007D5ABE" w:rsidRDefault="0020676D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Prima de antigüedad</w:t>
      </w:r>
      <w:r w:rsidR="00896160" w:rsidRPr="007D5ABE">
        <w:rPr>
          <w:rFonts w:cs="ArialMT"/>
          <w:sz w:val="20"/>
          <w:szCs w:val="20"/>
        </w:rPr>
        <w:t xml:space="preserve"> (aportaciones)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896160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Gastos por fiesta de fin de año y otros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896160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Subsidios por incapacidad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896160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Becas para trabajadores y / o sus hijos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896160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Ayuda de renta artículos escolares y dotación de anteojos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896160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Ayuda para los trabajadores para gastos de funeral</w:t>
      </w:r>
      <w:r w:rsidR="00740DB1" w:rsidRPr="007D5ABE">
        <w:rPr>
          <w:rFonts w:cs="ArialMT"/>
          <w:sz w:val="20"/>
          <w:szCs w:val="20"/>
        </w:rPr>
        <w:t>.</w:t>
      </w:r>
    </w:p>
    <w:p w:rsidR="00896160" w:rsidRPr="007D5ABE" w:rsidRDefault="00740DB1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Intereses subsidiados en créditos al personal.</w:t>
      </w:r>
    </w:p>
    <w:p w:rsidR="00740DB1" w:rsidRPr="007D5ABE" w:rsidRDefault="00740DB1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Horas extras.</w:t>
      </w:r>
    </w:p>
    <w:p w:rsidR="00740DB1" w:rsidRPr="007D5ABE" w:rsidRDefault="00740DB1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Jubilaciones pensiones y haberes de retiro.</w:t>
      </w:r>
    </w:p>
    <w:p w:rsidR="00740DB1" w:rsidRPr="007D5ABE" w:rsidRDefault="00740DB1" w:rsidP="004139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rialMT"/>
          <w:sz w:val="20"/>
          <w:szCs w:val="20"/>
        </w:rPr>
      </w:pPr>
      <w:r w:rsidRPr="007D5ABE">
        <w:rPr>
          <w:rFonts w:cs="ArialMT"/>
          <w:sz w:val="20"/>
          <w:szCs w:val="20"/>
        </w:rPr>
        <w:t>Contribuciones a cargo del trabajador pagadas por el patrón.</w:t>
      </w:r>
    </w:p>
    <w:p w:rsidR="005D1985" w:rsidRPr="007D5ABE" w:rsidRDefault="005D1985" w:rsidP="004139A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2E375C">
        <w:rPr>
          <w:rFonts w:cs="ArialMT"/>
          <w:sz w:val="24"/>
          <w:szCs w:val="24"/>
        </w:rPr>
        <w:t xml:space="preserve">Para cada uno de estos </w:t>
      </w:r>
      <w:r w:rsidR="007D5ABE">
        <w:rPr>
          <w:rFonts w:cs="ArialMT"/>
          <w:sz w:val="24"/>
          <w:szCs w:val="24"/>
        </w:rPr>
        <w:t xml:space="preserve">conceptos de </w:t>
      </w:r>
      <w:r w:rsidR="00B45795">
        <w:rPr>
          <w:rFonts w:cs="ArialMT"/>
          <w:sz w:val="24"/>
          <w:szCs w:val="24"/>
        </w:rPr>
        <w:t xml:space="preserve">sueldos y prestaciones </w:t>
      </w:r>
      <w:r w:rsidR="00B45795" w:rsidRPr="00847F2B">
        <w:rPr>
          <w:rFonts w:cs="ArialMT"/>
          <w:sz w:val="24"/>
          <w:szCs w:val="24"/>
        </w:rPr>
        <w:t>pagados a los trabajadores</w:t>
      </w:r>
      <w:r w:rsidR="00B45795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se</w:t>
      </w:r>
      <w:r w:rsidRPr="002E375C">
        <w:rPr>
          <w:rFonts w:cs="ArialMT"/>
          <w:sz w:val="24"/>
          <w:szCs w:val="24"/>
        </w:rPr>
        <w:t xml:space="preserve"> establece</w:t>
      </w:r>
      <w:r>
        <w:rPr>
          <w:rFonts w:cs="ArialMT"/>
          <w:sz w:val="24"/>
          <w:szCs w:val="24"/>
        </w:rPr>
        <w:t>n</w:t>
      </w:r>
      <w:r w:rsidRPr="002E375C">
        <w:rPr>
          <w:rFonts w:cs="ArialMT"/>
          <w:sz w:val="24"/>
          <w:szCs w:val="24"/>
        </w:rPr>
        <w:t xml:space="preserve"> reglas y límites para su exención. No se debe olvidar que la propia L</w:t>
      </w:r>
      <w:r w:rsidR="007D5ABE">
        <w:rPr>
          <w:rFonts w:cs="ArialMT"/>
          <w:sz w:val="24"/>
          <w:szCs w:val="24"/>
        </w:rPr>
        <w:t xml:space="preserve">ey del </w:t>
      </w:r>
      <w:r w:rsidR="0001596D">
        <w:rPr>
          <w:rFonts w:cs="ArialMT"/>
          <w:sz w:val="24"/>
          <w:szCs w:val="24"/>
        </w:rPr>
        <w:t>ISR establece</w:t>
      </w:r>
      <w:r w:rsidRPr="002E375C">
        <w:rPr>
          <w:rFonts w:cs="ArialMT"/>
          <w:sz w:val="24"/>
          <w:szCs w:val="24"/>
        </w:rPr>
        <w:t xml:space="preserve"> en su</w:t>
      </w:r>
      <w:r>
        <w:rPr>
          <w:rFonts w:cs="ArialMT"/>
          <w:sz w:val="24"/>
          <w:szCs w:val="24"/>
        </w:rPr>
        <w:t xml:space="preserve"> </w:t>
      </w:r>
      <w:r w:rsidRPr="002E375C">
        <w:rPr>
          <w:rFonts w:cs="ArialMT"/>
          <w:sz w:val="24"/>
          <w:szCs w:val="24"/>
        </w:rPr>
        <w:t>artículo 27, ciertos</w:t>
      </w:r>
      <w:r>
        <w:rPr>
          <w:rFonts w:cs="ArialMT"/>
          <w:sz w:val="24"/>
          <w:szCs w:val="24"/>
        </w:rPr>
        <w:t xml:space="preserve"> </w:t>
      </w:r>
      <w:r w:rsidRPr="002E375C">
        <w:rPr>
          <w:rFonts w:cs="ArialMT"/>
          <w:sz w:val="24"/>
          <w:szCs w:val="24"/>
        </w:rPr>
        <w:t>requisitos para las deducciones, incluidas las que se consideran ingresos exentos para el trabajador, por ejemplo:</w:t>
      </w:r>
    </w:p>
    <w:p w:rsidR="002E375C" w:rsidRP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2E375C" w:rsidRDefault="00693077" w:rsidP="004139A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Previsión social </w:t>
      </w:r>
      <w:r w:rsidR="002E375C" w:rsidRPr="00693077">
        <w:rPr>
          <w:rFonts w:cs="ArialMT"/>
          <w:sz w:val="24"/>
          <w:szCs w:val="24"/>
        </w:rPr>
        <w:t>debe otorgarse en forma general.</w:t>
      </w:r>
    </w:p>
    <w:p w:rsidR="002E375C" w:rsidRDefault="002E375C" w:rsidP="004139A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sz w:val="24"/>
          <w:szCs w:val="24"/>
        </w:rPr>
      </w:pPr>
      <w:r w:rsidRPr="00693077">
        <w:rPr>
          <w:rFonts w:cs="ArialMT"/>
          <w:sz w:val="24"/>
          <w:szCs w:val="24"/>
        </w:rPr>
        <w:t>Vales de despensa a través de monederos electrónicos.</w:t>
      </w:r>
    </w:p>
    <w:p w:rsidR="002E375C" w:rsidRDefault="002E375C" w:rsidP="0001596D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MT"/>
          <w:sz w:val="24"/>
          <w:szCs w:val="24"/>
        </w:rPr>
      </w:pPr>
      <w:r w:rsidRPr="00693077">
        <w:rPr>
          <w:rFonts w:cs="ArialMT"/>
          <w:sz w:val="24"/>
          <w:szCs w:val="24"/>
        </w:rPr>
        <w:t>Aportación al fondo de ahorro igual al monto aportado por trabajador. Límite de 13% del salario del trabajador, sin rebasar 1.3 veces el salario mínimo (VSM) del área geográfica del trabajador.</w:t>
      </w:r>
    </w:p>
    <w:p w:rsidR="002E375C" w:rsidRP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E375C">
        <w:rPr>
          <w:rFonts w:cs="ArialMT"/>
          <w:color w:val="000000"/>
          <w:sz w:val="24"/>
          <w:szCs w:val="24"/>
        </w:rPr>
        <w:lastRenderedPageBreak/>
        <w:t>Además, el artículo 28 de la L</w:t>
      </w:r>
      <w:r w:rsidR="007D5ABE">
        <w:rPr>
          <w:rFonts w:cs="ArialMT"/>
          <w:color w:val="000000"/>
          <w:sz w:val="24"/>
          <w:szCs w:val="24"/>
        </w:rPr>
        <w:t xml:space="preserve">ey del </w:t>
      </w:r>
      <w:r w:rsidRPr="002E375C">
        <w:rPr>
          <w:rFonts w:cs="ArialMT"/>
          <w:color w:val="000000"/>
          <w:sz w:val="24"/>
          <w:szCs w:val="24"/>
        </w:rPr>
        <w:t>ISR indica que no son deducibles, incluidas de igual manera, las que se consideran ingresos exentos para el trabajador, entre otros, los siguientes:</w:t>
      </w:r>
    </w:p>
    <w:p w:rsidR="002E375C" w:rsidRP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2E375C" w:rsidRDefault="002E375C" w:rsidP="004139A1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693077">
        <w:rPr>
          <w:rFonts w:cs="ArialMT"/>
          <w:color w:val="000000"/>
          <w:sz w:val="24"/>
          <w:szCs w:val="24"/>
        </w:rPr>
        <w:t>Pagos de viáticos que excedan los límites establecidos.</w:t>
      </w:r>
    </w:p>
    <w:p w:rsidR="002E375C" w:rsidRDefault="002E375C" w:rsidP="004139A1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693077">
        <w:rPr>
          <w:rFonts w:cs="ArialMT"/>
          <w:color w:val="000000"/>
          <w:sz w:val="24"/>
          <w:szCs w:val="24"/>
        </w:rPr>
        <w:t>Gastos en comedores que no estén a disposición de todos los trabajadores.</w:t>
      </w:r>
    </w:p>
    <w:p w:rsidR="002E375C" w:rsidRP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7F03C7" w:rsidRDefault="009A40F4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S</w:t>
      </w:r>
      <w:r w:rsidR="002E375C" w:rsidRPr="002E375C">
        <w:rPr>
          <w:rFonts w:cs="ArialMT"/>
          <w:color w:val="000000"/>
          <w:sz w:val="24"/>
          <w:szCs w:val="24"/>
        </w:rPr>
        <w:t>e deben excluir aquellos que no se consideran ingresos como los servicios de comedor y de comida, así como el uso de bienes que el patrón pone a disposición del trabajador para el desempeño de sus funciones, lo que se considera como herramienta de trabajo</w:t>
      </w:r>
      <w:r w:rsidR="002E375C" w:rsidRPr="001C61F6">
        <w:rPr>
          <w:rFonts w:cs="ArialMT"/>
          <w:color w:val="000000"/>
          <w:sz w:val="24"/>
          <w:szCs w:val="24"/>
        </w:rPr>
        <w:t>; por ejemplo: un auto en agentes de venta o ejecutivos que tengan la necesid</w:t>
      </w:r>
      <w:r w:rsidR="002E375C" w:rsidRPr="002E375C">
        <w:rPr>
          <w:rFonts w:cs="ArialMT"/>
          <w:color w:val="000000"/>
          <w:sz w:val="24"/>
          <w:szCs w:val="24"/>
        </w:rPr>
        <w:t>ad de desplazarse constan</w:t>
      </w:r>
      <w:r w:rsidR="002E375C">
        <w:rPr>
          <w:rFonts w:cs="ArialMT"/>
          <w:color w:val="000000"/>
          <w:sz w:val="24"/>
          <w:szCs w:val="24"/>
        </w:rPr>
        <w:t xml:space="preserve">temente en servicio del patrón. </w:t>
      </w:r>
      <w:r w:rsidR="0042670B">
        <w:rPr>
          <w:rFonts w:cs="ArialMT"/>
          <w:color w:val="000000"/>
          <w:sz w:val="24"/>
          <w:szCs w:val="24"/>
        </w:rPr>
        <w:t>E</w:t>
      </w:r>
      <w:r w:rsidR="002E375C" w:rsidRPr="002E375C">
        <w:rPr>
          <w:rFonts w:cs="ArialMT"/>
          <w:color w:val="000000"/>
          <w:sz w:val="24"/>
          <w:szCs w:val="24"/>
        </w:rPr>
        <w:t>l fin principal de la limitante es evitar el tratamiento fiscal asimétrico, debido a que el trabajador no paga ISR por los ingresos, aunque el patrón puede deducir en su totalidad el pago.</w:t>
      </w:r>
      <w:r w:rsidR="007F03C7">
        <w:rPr>
          <w:rFonts w:cs="ArialMT"/>
          <w:color w:val="000000"/>
          <w:sz w:val="24"/>
          <w:szCs w:val="24"/>
        </w:rPr>
        <w:t xml:space="preserve"> </w:t>
      </w:r>
      <w:r w:rsidR="002E375C" w:rsidRPr="002E375C">
        <w:rPr>
          <w:rFonts w:cs="ArialMT"/>
          <w:color w:val="000000"/>
          <w:sz w:val="24"/>
          <w:szCs w:val="24"/>
        </w:rPr>
        <w:t>Esto se presentaba en algunos casos, por ejemplo, en los pagos del fondo de ahorro; sin embargo, este tratamiento asimétrico no se da en aquellos pagos que el patrón realiza a otro contribuyente</w:t>
      </w:r>
      <w:r w:rsidR="002E375C">
        <w:rPr>
          <w:rFonts w:cs="ArialMT"/>
          <w:color w:val="000000"/>
          <w:sz w:val="24"/>
          <w:szCs w:val="24"/>
        </w:rPr>
        <w:t xml:space="preserve"> del ISR, pero que se considera </w:t>
      </w:r>
      <w:r w:rsidR="002E375C" w:rsidRPr="002E375C">
        <w:rPr>
          <w:rFonts w:cs="ArialMT"/>
          <w:color w:val="000000"/>
          <w:sz w:val="24"/>
          <w:szCs w:val="24"/>
        </w:rPr>
        <w:t>ingreso exento para el trabajador, por ejemplo:</w:t>
      </w:r>
    </w:p>
    <w:p w:rsidR="0042670B" w:rsidRPr="002E375C" w:rsidRDefault="0042670B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2E375C" w:rsidRDefault="002E375C" w:rsidP="004139A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42670B">
        <w:rPr>
          <w:rFonts w:cs="ArialMT"/>
          <w:color w:val="000000"/>
          <w:sz w:val="24"/>
          <w:szCs w:val="24"/>
        </w:rPr>
        <w:t>Seguro de vida y de gastos médicos mayores.</w:t>
      </w:r>
    </w:p>
    <w:p w:rsidR="005B57D8" w:rsidRDefault="002E375C" w:rsidP="004139A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42670B">
        <w:rPr>
          <w:rFonts w:cs="ArialMT"/>
          <w:color w:val="000000"/>
          <w:sz w:val="24"/>
          <w:szCs w:val="24"/>
        </w:rPr>
        <w:t>Vales de despensa, restaurante, gasolina y ropa.</w:t>
      </w:r>
    </w:p>
    <w:p w:rsidR="002E375C" w:rsidRPr="0042670B" w:rsidRDefault="002E375C" w:rsidP="004139A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ArialMT"/>
          <w:color w:val="000000"/>
          <w:sz w:val="24"/>
          <w:szCs w:val="24"/>
        </w:rPr>
      </w:pPr>
      <w:r w:rsidRPr="0042670B">
        <w:rPr>
          <w:rFonts w:cs="ArialMT"/>
          <w:color w:val="000000"/>
          <w:sz w:val="24"/>
          <w:szCs w:val="24"/>
        </w:rPr>
        <w:t>Viáticos y gastos de viaje, etcétera.</w:t>
      </w:r>
    </w:p>
    <w:p w:rsidR="007F03C7" w:rsidRDefault="007F03C7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2E375C" w:rsidRDefault="002E375C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2E375C">
        <w:rPr>
          <w:rFonts w:cs="ArialMT"/>
          <w:color w:val="000000"/>
          <w:sz w:val="24"/>
          <w:szCs w:val="24"/>
        </w:rPr>
        <w:t>En estos casos, el</w:t>
      </w:r>
      <w:r w:rsidR="005B57D8">
        <w:rPr>
          <w:rFonts w:cs="ArialMT"/>
          <w:color w:val="000000"/>
          <w:sz w:val="24"/>
          <w:szCs w:val="24"/>
        </w:rPr>
        <w:t xml:space="preserve"> pago lo realiza el patrón a un </w:t>
      </w:r>
      <w:r w:rsidRPr="002E375C">
        <w:rPr>
          <w:rFonts w:cs="ArialMT"/>
          <w:color w:val="000000"/>
          <w:sz w:val="24"/>
          <w:szCs w:val="24"/>
        </w:rPr>
        <w:t>contribuyente que</w:t>
      </w:r>
      <w:r w:rsidR="005B57D8">
        <w:rPr>
          <w:rFonts w:cs="ArialMT"/>
          <w:color w:val="000000"/>
          <w:sz w:val="24"/>
          <w:szCs w:val="24"/>
        </w:rPr>
        <w:t xml:space="preserve"> considera gravable el ingreso, </w:t>
      </w:r>
      <w:r w:rsidRPr="002E375C">
        <w:rPr>
          <w:rFonts w:cs="ArialMT"/>
          <w:color w:val="000000"/>
          <w:sz w:val="24"/>
          <w:szCs w:val="24"/>
        </w:rPr>
        <w:t>por lo que no se presenta el tratamiento asimétrico.</w:t>
      </w:r>
    </w:p>
    <w:p w:rsidR="00891D05" w:rsidRDefault="00891D05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1C61F6" w:rsidRPr="001C61F6" w:rsidRDefault="001C61F6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4"/>
          <w:szCs w:val="24"/>
        </w:rPr>
      </w:pPr>
      <w:r w:rsidRPr="001C61F6">
        <w:rPr>
          <w:rFonts w:cs="ArialMT"/>
          <w:b/>
          <w:color w:val="000000"/>
          <w:sz w:val="24"/>
          <w:szCs w:val="24"/>
        </w:rPr>
        <w:t>Conclusión</w:t>
      </w:r>
    </w:p>
    <w:p w:rsidR="001C61F6" w:rsidRDefault="001C61F6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91D05" w:rsidRDefault="001C61F6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E</w:t>
      </w:r>
      <w:r w:rsidR="00891D05">
        <w:rPr>
          <w:rFonts w:cs="ArialMT"/>
          <w:color w:val="000000"/>
          <w:sz w:val="24"/>
          <w:szCs w:val="24"/>
        </w:rPr>
        <w:t xml:space="preserve">s necesario e importante tener identificados los conceptos y limitantes descritas para </w:t>
      </w:r>
      <w:r>
        <w:rPr>
          <w:rFonts w:cs="ArialMT"/>
          <w:color w:val="000000"/>
          <w:sz w:val="24"/>
          <w:szCs w:val="24"/>
        </w:rPr>
        <w:t xml:space="preserve">determinar </w:t>
      </w:r>
      <w:r w:rsidR="00891D05">
        <w:rPr>
          <w:rFonts w:cs="ArialMT"/>
          <w:color w:val="000000"/>
          <w:sz w:val="24"/>
          <w:szCs w:val="24"/>
        </w:rPr>
        <w:t xml:space="preserve">la </w:t>
      </w:r>
      <w:r w:rsidR="0001596D">
        <w:rPr>
          <w:rFonts w:cs="ArialMT"/>
          <w:color w:val="000000"/>
          <w:sz w:val="24"/>
          <w:szCs w:val="24"/>
        </w:rPr>
        <w:t>proporción correspondiente para identificar la deducibilidad autorizada en el e</w:t>
      </w:r>
      <w:r w:rsidR="00891D05">
        <w:rPr>
          <w:rFonts w:cs="ArialMT"/>
          <w:color w:val="000000"/>
          <w:sz w:val="24"/>
          <w:szCs w:val="24"/>
        </w:rPr>
        <w:t>jercicio.</w:t>
      </w:r>
    </w:p>
    <w:p w:rsidR="00891D05" w:rsidRDefault="00891D05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01596D" w:rsidRDefault="0001596D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CPC </w:t>
      </w:r>
      <w:r w:rsidR="00C1609C">
        <w:rPr>
          <w:rFonts w:cs="ArialMT"/>
          <w:color w:val="000000"/>
          <w:sz w:val="24"/>
          <w:szCs w:val="24"/>
        </w:rPr>
        <w:t xml:space="preserve">y MBA </w:t>
      </w:r>
      <w:r>
        <w:rPr>
          <w:rFonts w:cs="ArialMT"/>
          <w:color w:val="000000"/>
          <w:sz w:val="24"/>
          <w:szCs w:val="24"/>
        </w:rPr>
        <w:t xml:space="preserve">José Luis Matus </w:t>
      </w:r>
      <w:proofErr w:type="spellStart"/>
      <w:r>
        <w:rPr>
          <w:rFonts w:cs="ArialMT"/>
          <w:color w:val="000000"/>
          <w:sz w:val="24"/>
          <w:szCs w:val="24"/>
        </w:rPr>
        <w:t>Urtecho</w:t>
      </w:r>
      <w:proofErr w:type="spellEnd"/>
    </w:p>
    <w:p w:rsidR="0001596D" w:rsidRPr="005B57D8" w:rsidRDefault="0001596D" w:rsidP="004139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Integrante de la Comisión Fiscal</w:t>
      </w:r>
    </w:p>
    <w:sectPr w:rsidR="0001596D" w:rsidRPr="005B57D8" w:rsidSect="004139A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4D8"/>
    <w:multiLevelType w:val="hybridMultilevel"/>
    <w:tmpl w:val="FAEA97B4"/>
    <w:lvl w:ilvl="0" w:tplc="B80ACE2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371"/>
    <w:multiLevelType w:val="hybridMultilevel"/>
    <w:tmpl w:val="A85A1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02D"/>
    <w:multiLevelType w:val="hybridMultilevel"/>
    <w:tmpl w:val="B2722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37DC"/>
    <w:multiLevelType w:val="hybridMultilevel"/>
    <w:tmpl w:val="4AB44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D9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B16"/>
    <w:multiLevelType w:val="hybridMultilevel"/>
    <w:tmpl w:val="B37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3C2"/>
    <w:multiLevelType w:val="hybridMultilevel"/>
    <w:tmpl w:val="35208A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4CE0"/>
    <w:multiLevelType w:val="hybridMultilevel"/>
    <w:tmpl w:val="DC88E78A"/>
    <w:lvl w:ilvl="0" w:tplc="1DCC9E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1596D"/>
    <w:rsid w:val="0011416B"/>
    <w:rsid w:val="00115818"/>
    <w:rsid w:val="001410AB"/>
    <w:rsid w:val="001C61F6"/>
    <w:rsid w:val="0020676D"/>
    <w:rsid w:val="002A3CB5"/>
    <w:rsid w:val="002E30F6"/>
    <w:rsid w:val="002E375C"/>
    <w:rsid w:val="004139A1"/>
    <w:rsid w:val="0042670B"/>
    <w:rsid w:val="004B29CC"/>
    <w:rsid w:val="00540E05"/>
    <w:rsid w:val="005B01DF"/>
    <w:rsid w:val="005B57D8"/>
    <w:rsid w:val="005D1985"/>
    <w:rsid w:val="00693077"/>
    <w:rsid w:val="00706B19"/>
    <w:rsid w:val="00740DB1"/>
    <w:rsid w:val="007D5ABE"/>
    <w:rsid w:val="007F03C7"/>
    <w:rsid w:val="00847F2B"/>
    <w:rsid w:val="00891D05"/>
    <w:rsid w:val="00896160"/>
    <w:rsid w:val="008D6D75"/>
    <w:rsid w:val="008E0A2B"/>
    <w:rsid w:val="009A40F4"/>
    <w:rsid w:val="009E2FD2"/>
    <w:rsid w:val="00B2266D"/>
    <w:rsid w:val="00B3764A"/>
    <w:rsid w:val="00B45795"/>
    <w:rsid w:val="00B64BAE"/>
    <w:rsid w:val="00C1609C"/>
    <w:rsid w:val="00C751F9"/>
    <w:rsid w:val="00D63B7A"/>
    <w:rsid w:val="00DE5213"/>
    <w:rsid w:val="00E2157F"/>
    <w:rsid w:val="00E2555B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B3717-A02F-4685-B8C3-F2B371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7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2853">
                      <w:marLeft w:val="288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0393">
                      <w:marLeft w:val="288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RETTER</cp:lastModifiedBy>
  <cp:revision>5</cp:revision>
  <cp:lastPrinted>2016-07-20T22:21:00Z</cp:lastPrinted>
  <dcterms:created xsi:type="dcterms:W3CDTF">2016-07-20T17:17:00Z</dcterms:created>
  <dcterms:modified xsi:type="dcterms:W3CDTF">2016-07-20T22:32:00Z</dcterms:modified>
</cp:coreProperties>
</file>